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4CD" w:rsidRDefault="000134CD" w:rsidP="000134CD">
      <w:pPr>
        <w:jc w:val="both"/>
      </w:pPr>
      <w:bookmarkStart w:id="0" w:name="_GoBack"/>
      <w:bookmarkEnd w:id="0"/>
    </w:p>
    <w:p w:rsidR="00574485" w:rsidRPr="00C0228F" w:rsidRDefault="00574485" w:rsidP="00C0228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C0228F">
        <w:rPr>
          <w:rFonts w:ascii="Arial" w:hAnsi="Arial" w:cs="Arial"/>
          <w:sz w:val="22"/>
          <w:szCs w:val="22"/>
        </w:rPr>
        <w:t xml:space="preserve">The </w:t>
      </w:r>
      <w:r w:rsidR="0092176A">
        <w:rPr>
          <w:rFonts w:ascii="Arial" w:hAnsi="Arial" w:cs="Arial"/>
          <w:sz w:val="22"/>
          <w:szCs w:val="22"/>
        </w:rPr>
        <w:t xml:space="preserve">Queensland </w:t>
      </w:r>
      <w:r w:rsidRPr="00C0228F">
        <w:rPr>
          <w:rFonts w:ascii="Arial" w:hAnsi="Arial" w:cs="Arial"/>
          <w:sz w:val="22"/>
          <w:szCs w:val="22"/>
        </w:rPr>
        <w:t xml:space="preserve">Government has significant commitments </w:t>
      </w:r>
      <w:r w:rsidR="00C0228F">
        <w:rPr>
          <w:rFonts w:ascii="Arial" w:hAnsi="Arial" w:cs="Arial"/>
          <w:sz w:val="22"/>
          <w:szCs w:val="22"/>
        </w:rPr>
        <w:t>u</w:t>
      </w:r>
      <w:r w:rsidR="00C0228F" w:rsidRPr="00C0228F">
        <w:rPr>
          <w:rFonts w:ascii="Arial" w:hAnsi="Arial" w:cs="Arial"/>
          <w:sz w:val="22"/>
          <w:szCs w:val="22"/>
        </w:rPr>
        <w:t xml:space="preserve">nder the Council of Australian Governments (COAG) National Partnership Agreement to Deliver a Seamless National </w:t>
      </w:r>
      <w:r w:rsidR="00A47ABE" w:rsidRPr="00C0228F">
        <w:rPr>
          <w:rFonts w:ascii="Arial" w:hAnsi="Arial" w:cs="Arial"/>
          <w:sz w:val="22"/>
          <w:szCs w:val="22"/>
        </w:rPr>
        <w:t>Economy</w:t>
      </w:r>
      <w:r w:rsidR="00A47ABE">
        <w:rPr>
          <w:rFonts w:ascii="Arial" w:hAnsi="Arial" w:cs="Arial"/>
          <w:sz w:val="22"/>
          <w:szCs w:val="22"/>
        </w:rPr>
        <w:t>,</w:t>
      </w:r>
      <w:r w:rsidR="00C0228F">
        <w:rPr>
          <w:rFonts w:ascii="Arial" w:hAnsi="Arial" w:cs="Arial"/>
          <w:sz w:val="22"/>
          <w:szCs w:val="22"/>
        </w:rPr>
        <w:t xml:space="preserve"> and at the </w:t>
      </w:r>
      <w:r w:rsidRPr="00C0228F">
        <w:rPr>
          <w:rFonts w:ascii="Arial" w:hAnsi="Arial" w:cs="Arial"/>
          <w:sz w:val="22"/>
          <w:szCs w:val="22"/>
        </w:rPr>
        <w:t xml:space="preserve">state level to reform </w:t>
      </w:r>
      <w:smartTag w:uri="urn:schemas-microsoft-com:office:smarttags" w:element="place">
        <w:smartTag w:uri="urn:schemas-microsoft-com:office:smarttags" w:element="State">
          <w:r w:rsidRPr="00C0228F">
            <w:rPr>
              <w:rFonts w:ascii="Arial" w:hAnsi="Arial" w:cs="Arial"/>
              <w:sz w:val="22"/>
              <w:szCs w:val="22"/>
            </w:rPr>
            <w:t>Queensland</w:t>
          </w:r>
        </w:smartTag>
      </w:smartTag>
      <w:r w:rsidRPr="00C0228F">
        <w:rPr>
          <w:rFonts w:ascii="Arial" w:hAnsi="Arial" w:cs="Arial"/>
          <w:sz w:val="22"/>
          <w:szCs w:val="22"/>
        </w:rPr>
        <w:t xml:space="preserve">’s regulatory development processes and arrangements.  </w:t>
      </w:r>
    </w:p>
    <w:p w:rsidR="00574485" w:rsidRPr="00574485" w:rsidRDefault="00574485" w:rsidP="00C0228F">
      <w:pPr>
        <w:jc w:val="both"/>
        <w:rPr>
          <w:rFonts w:ascii="Arial" w:hAnsi="Arial" w:cs="Arial"/>
          <w:sz w:val="22"/>
          <w:szCs w:val="22"/>
        </w:rPr>
      </w:pPr>
    </w:p>
    <w:p w:rsidR="00304A61" w:rsidRDefault="00574485" w:rsidP="0057448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74485">
        <w:rPr>
          <w:rFonts w:ascii="Arial" w:hAnsi="Arial" w:cs="Arial"/>
          <w:sz w:val="22"/>
          <w:szCs w:val="22"/>
        </w:rPr>
        <w:t xml:space="preserve">The Queensland Office for Regulatory Efficiency has developed the Regulatory Assessment Statement (RAS) system to satisfy these COAG and state commitments and ensure that </w:t>
      </w:r>
      <w:smartTag w:uri="urn:schemas-microsoft-com:office:smarttags" w:element="place">
        <w:smartTag w:uri="urn:schemas-microsoft-com:office:smarttags" w:element="State">
          <w:r w:rsidRPr="00574485">
            <w:rPr>
              <w:rFonts w:ascii="Arial" w:hAnsi="Arial" w:cs="Arial"/>
              <w:sz w:val="22"/>
              <w:szCs w:val="22"/>
            </w:rPr>
            <w:t>Queensland</w:t>
          </w:r>
        </w:smartTag>
      </w:smartTag>
      <w:r w:rsidRPr="00574485">
        <w:rPr>
          <w:rFonts w:ascii="Arial" w:hAnsi="Arial" w:cs="Arial"/>
          <w:sz w:val="22"/>
          <w:szCs w:val="22"/>
        </w:rPr>
        <w:t>’s regulatory development system benchmarks well against other Australian jurisdictions.</w:t>
      </w:r>
      <w:r w:rsidR="00B568F5">
        <w:rPr>
          <w:rFonts w:ascii="Arial" w:hAnsi="Arial" w:cs="Arial"/>
          <w:sz w:val="22"/>
          <w:szCs w:val="22"/>
        </w:rPr>
        <w:t xml:space="preserve"> </w:t>
      </w:r>
    </w:p>
    <w:p w:rsidR="00304A61" w:rsidRDefault="00304A61" w:rsidP="00304A61">
      <w:pPr>
        <w:jc w:val="both"/>
        <w:rPr>
          <w:rFonts w:ascii="Arial" w:hAnsi="Arial" w:cs="Arial"/>
          <w:sz w:val="22"/>
          <w:szCs w:val="22"/>
        </w:rPr>
      </w:pPr>
    </w:p>
    <w:p w:rsidR="00574485" w:rsidRPr="00574485" w:rsidRDefault="00B568F5" w:rsidP="00304A6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RAS system aims to </w:t>
      </w:r>
      <w:r w:rsidR="00304A61">
        <w:rPr>
          <w:rFonts w:ascii="Arial" w:hAnsi="Arial" w:cs="Arial"/>
          <w:sz w:val="22"/>
          <w:szCs w:val="22"/>
        </w:rPr>
        <w:t xml:space="preserve">improve the quality of future regulation in </w:t>
      </w:r>
      <w:smartTag w:uri="urn:schemas-microsoft-com:office:smarttags" w:element="place">
        <w:smartTag w:uri="urn:schemas-microsoft-com:office:smarttags" w:element="State">
          <w:r w:rsidR="00304A61">
            <w:rPr>
              <w:rFonts w:ascii="Arial" w:hAnsi="Arial" w:cs="Arial"/>
              <w:sz w:val="22"/>
              <w:szCs w:val="22"/>
            </w:rPr>
            <w:t>Queensland</w:t>
          </w:r>
        </w:smartTag>
      </w:smartTag>
      <w:r w:rsidR="00304A61">
        <w:rPr>
          <w:rFonts w:ascii="Arial" w:hAnsi="Arial" w:cs="Arial"/>
          <w:sz w:val="22"/>
          <w:szCs w:val="22"/>
        </w:rPr>
        <w:t xml:space="preserve"> by putting in place processes and arrangements to ensure necessary protections and safeguards without stifling innovation or productivity.  </w:t>
      </w:r>
    </w:p>
    <w:p w:rsidR="00574485" w:rsidRPr="00574485" w:rsidRDefault="00574485" w:rsidP="00C0228F">
      <w:pPr>
        <w:jc w:val="both"/>
        <w:rPr>
          <w:rFonts w:ascii="Arial" w:hAnsi="Arial" w:cs="Arial"/>
          <w:sz w:val="22"/>
          <w:szCs w:val="22"/>
        </w:rPr>
      </w:pPr>
    </w:p>
    <w:p w:rsidR="00574485" w:rsidRDefault="00304A61" w:rsidP="0057448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Improvements flowing from the </w:t>
      </w:r>
      <w:r w:rsidR="00574485" w:rsidRPr="00574485">
        <w:rPr>
          <w:rFonts w:ascii="Arial" w:hAnsi="Arial" w:cs="Arial"/>
          <w:sz w:val="22"/>
          <w:szCs w:val="22"/>
        </w:rPr>
        <w:t>RAS system</w:t>
      </w:r>
      <w:r>
        <w:rPr>
          <w:rFonts w:ascii="Arial" w:hAnsi="Arial" w:cs="Arial"/>
          <w:sz w:val="22"/>
          <w:szCs w:val="22"/>
        </w:rPr>
        <w:t xml:space="preserve"> are</w:t>
      </w:r>
      <w:r w:rsidR="00574485" w:rsidRPr="00574485">
        <w:rPr>
          <w:rFonts w:ascii="Arial" w:hAnsi="Arial" w:cs="Arial"/>
          <w:sz w:val="22"/>
          <w:szCs w:val="22"/>
        </w:rPr>
        <w:t>:</w:t>
      </w:r>
    </w:p>
    <w:p w:rsidR="00574485" w:rsidRDefault="00574485" w:rsidP="00B24C20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574485">
        <w:rPr>
          <w:rFonts w:ascii="Arial" w:hAnsi="Arial" w:cs="Arial"/>
          <w:sz w:val="22"/>
          <w:szCs w:val="22"/>
        </w:rPr>
        <w:t xml:space="preserve">integrates existing </w:t>
      </w:r>
      <w:r w:rsidR="0066139F">
        <w:rPr>
          <w:rFonts w:ascii="Arial" w:hAnsi="Arial" w:cs="Arial"/>
          <w:sz w:val="22"/>
          <w:szCs w:val="22"/>
        </w:rPr>
        <w:t xml:space="preserve">multiple </w:t>
      </w:r>
      <w:r w:rsidRPr="00574485">
        <w:rPr>
          <w:rFonts w:ascii="Arial" w:hAnsi="Arial" w:cs="Arial"/>
          <w:sz w:val="22"/>
          <w:szCs w:val="22"/>
        </w:rPr>
        <w:t>impact assessment processes into a single, streamlined process;</w:t>
      </w:r>
    </w:p>
    <w:p w:rsidR="00574485" w:rsidRDefault="00574485" w:rsidP="00B24C20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574485">
        <w:rPr>
          <w:rFonts w:ascii="Arial" w:hAnsi="Arial" w:cs="Arial"/>
          <w:sz w:val="22"/>
          <w:szCs w:val="22"/>
        </w:rPr>
        <w:t>promotes consideration of regulatory best practice principles at all stages through the regulatory cycle;</w:t>
      </w:r>
    </w:p>
    <w:p w:rsidR="00574485" w:rsidRDefault="00574485" w:rsidP="00B24C20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574485">
        <w:rPr>
          <w:rFonts w:ascii="Arial" w:hAnsi="Arial" w:cs="Arial"/>
          <w:sz w:val="22"/>
          <w:szCs w:val="22"/>
        </w:rPr>
        <w:t>introduces a streamlined two level impact assessment effort proportional to the significance of the regulatory proposal including a cost-benefit analysis for all proposals with significant impact;</w:t>
      </w:r>
    </w:p>
    <w:p w:rsidR="00574485" w:rsidRDefault="00574485" w:rsidP="00B24C20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574485">
        <w:rPr>
          <w:rFonts w:ascii="Arial" w:hAnsi="Arial" w:cs="Arial"/>
          <w:sz w:val="22"/>
          <w:szCs w:val="22"/>
        </w:rPr>
        <w:t>strengthens assessment of compliance cost impacts on business, community and government by mandating their quantification, except where negligible or trivial;</w:t>
      </w:r>
    </w:p>
    <w:p w:rsidR="00574485" w:rsidRDefault="00574485" w:rsidP="00B24C20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574485">
        <w:rPr>
          <w:rFonts w:ascii="Arial" w:hAnsi="Arial" w:cs="Arial"/>
          <w:sz w:val="22"/>
          <w:szCs w:val="22"/>
        </w:rPr>
        <w:t>supports more effective consultation and engagement with key affected stakeholders throughout the regulatory cycle with a minimum consultation period and public notification of consultation opportunities;</w:t>
      </w:r>
    </w:p>
    <w:p w:rsidR="00574485" w:rsidRDefault="00B24C20" w:rsidP="00B24C20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provides greater </w:t>
      </w:r>
      <w:r w:rsidR="00574485" w:rsidRPr="00574485">
        <w:rPr>
          <w:rFonts w:ascii="Arial" w:hAnsi="Arial" w:cs="Arial"/>
          <w:sz w:val="22"/>
          <w:szCs w:val="22"/>
        </w:rPr>
        <w:t>transparency and accountability for regulatory outcomes through the Treasurer’s Exemption in exceptional circumstances, including a review within two</w:t>
      </w:r>
      <w:r>
        <w:rPr>
          <w:rFonts w:ascii="Arial" w:hAnsi="Arial" w:cs="Arial"/>
          <w:sz w:val="22"/>
          <w:szCs w:val="22"/>
        </w:rPr>
        <w:t> ye</w:t>
      </w:r>
      <w:r w:rsidR="00574485" w:rsidRPr="00574485">
        <w:rPr>
          <w:rFonts w:ascii="Arial" w:hAnsi="Arial" w:cs="Arial"/>
          <w:sz w:val="22"/>
          <w:szCs w:val="22"/>
        </w:rPr>
        <w:t>ars of significant regulatory proposals where a RAS was not completed and a review of regulation at least every 10 years; and</w:t>
      </w:r>
    </w:p>
    <w:p w:rsidR="00574485" w:rsidRPr="00574485" w:rsidRDefault="00574485" w:rsidP="00B24C20">
      <w:pPr>
        <w:numPr>
          <w:ilvl w:val="0"/>
          <w:numId w:val="6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574485">
        <w:rPr>
          <w:rFonts w:ascii="Arial" w:hAnsi="Arial" w:cs="Arial"/>
          <w:sz w:val="22"/>
          <w:szCs w:val="22"/>
        </w:rPr>
        <w:t>applies to all primary, subordinate and quasi regulation as well as all government departments, age</w:t>
      </w:r>
      <w:r w:rsidR="00255EFB">
        <w:rPr>
          <w:rFonts w:ascii="Arial" w:hAnsi="Arial" w:cs="Arial"/>
          <w:sz w:val="22"/>
          <w:szCs w:val="22"/>
        </w:rPr>
        <w:t xml:space="preserve">ncies and statutory authorities.  Possible categories of exemptions will be clarified in guidelines </w:t>
      </w:r>
      <w:r w:rsidR="00D45CD0">
        <w:rPr>
          <w:rFonts w:ascii="Arial" w:hAnsi="Arial" w:cs="Arial"/>
          <w:sz w:val="22"/>
          <w:szCs w:val="22"/>
        </w:rPr>
        <w:t xml:space="preserve">to be </w:t>
      </w:r>
      <w:r w:rsidR="00255EFB">
        <w:rPr>
          <w:rFonts w:ascii="Arial" w:hAnsi="Arial" w:cs="Arial"/>
          <w:sz w:val="22"/>
          <w:szCs w:val="22"/>
        </w:rPr>
        <w:t>developed in consultation with agencies.</w:t>
      </w:r>
    </w:p>
    <w:p w:rsidR="00574485" w:rsidRPr="00574485" w:rsidRDefault="00574485" w:rsidP="0092176A">
      <w:pPr>
        <w:jc w:val="both"/>
        <w:rPr>
          <w:rFonts w:ascii="Arial" w:hAnsi="Arial" w:cs="Arial"/>
          <w:sz w:val="22"/>
          <w:szCs w:val="22"/>
        </w:rPr>
      </w:pPr>
    </w:p>
    <w:p w:rsidR="00574485" w:rsidRDefault="00574485" w:rsidP="0057448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74485">
        <w:rPr>
          <w:rFonts w:ascii="Arial" w:hAnsi="Arial" w:cs="Arial"/>
          <w:sz w:val="22"/>
          <w:szCs w:val="22"/>
        </w:rPr>
        <w:t xml:space="preserve">The RAS system will be progressively implemented from </w:t>
      </w:r>
      <w:smartTag w:uri="urn:schemas-microsoft-com:office:smarttags" w:element="date">
        <w:smartTagPr>
          <w:attr w:name="Year" w:val="2010"/>
          <w:attr w:name="Day" w:val="31"/>
          <w:attr w:name="Month" w:val="3"/>
        </w:smartTagPr>
        <w:r w:rsidRPr="00574485">
          <w:rPr>
            <w:rFonts w:ascii="Arial" w:hAnsi="Arial" w:cs="Arial"/>
            <w:sz w:val="22"/>
            <w:szCs w:val="22"/>
          </w:rPr>
          <w:t>31 March 2010</w:t>
        </w:r>
      </w:smartTag>
      <w:r w:rsidR="0066139F">
        <w:rPr>
          <w:rFonts w:ascii="Arial" w:hAnsi="Arial" w:cs="Arial"/>
          <w:sz w:val="22"/>
          <w:szCs w:val="22"/>
        </w:rPr>
        <w:t>.</w:t>
      </w:r>
    </w:p>
    <w:p w:rsidR="000550BB" w:rsidRDefault="000550BB" w:rsidP="000550BB">
      <w:pPr>
        <w:jc w:val="both"/>
        <w:rPr>
          <w:rFonts w:ascii="Arial" w:hAnsi="Arial" w:cs="Arial"/>
          <w:sz w:val="22"/>
          <w:szCs w:val="22"/>
        </w:rPr>
      </w:pPr>
    </w:p>
    <w:p w:rsidR="000550BB" w:rsidRDefault="000550BB" w:rsidP="000550B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0550BB">
        <w:rPr>
          <w:rFonts w:ascii="Arial" w:hAnsi="Arial" w:cs="Arial"/>
          <w:sz w:val="22"/>
          <w:szCs w:val="22"/>
          <w:u w:val="single"/>
        </w:rPr>
        <w:t>Cabinet endorsed</w:t>
      </w:r>
      <w:r>
        <w:rPr>
          <w:rFonts w:ascii="Arial" w:hAnsi="Arial" w:cs="Arial"/>
          <w:sz w:val="22"/>
          <w:szCs w:val="22"/>
        </w:rPr>
        <w:t xml:space="preserve"> the </w:t>
      </w:r>
      <w:r w:rsidRPr="00574485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egulatory Assessment Statement </w:t>
      </w:r>
      <w:r w:rsidRPr="00574485">
        <w:rPr>
          <w:rFonts w:ascii="Arial" w:hAnsi="Arial" w:cs="Arial"/>
          <w:sz w:val="22"/>
          <w:szCs w:val="22"/>
        </w:rPr>
        <w:t>system</w:t>
      </w:r>
      <w:r>
        <w:rPr>
          <w:rFonts w:ascii="Arial" w:hAnsi="Arial" w:cs="Arial"/>
          <w:sz w:val="22"/>
          <w:szCs w:val="22"/>
        </w:rPr>
        <w:t>.</w:t>
      </w:r>
    </w:p>
    <w:p w:rsidR="000550BB" w:rsidRDefault="000550BB" w:rsidP="000550BB">
      <w:pPr>
        <w:jc w:val="both"/>
        <w:rPr>
          <w:rFonts w:ascii="Arial" w:hAnsi="Arial" w:cs="Arial"/>
          <w:sz w:val="22"/>
          <w:szCs w:val="22"/>
        </w:rPr>
      </w:pPr>
    </w:p>
    <w:p w:rsidR="000550BB" w:rsidRPr="000550BB" w:rsidRDefault="000550BB" w:rsidP="000550B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i/>
          <w:sz w:val="22"/>
          <w:szCs w:val="22"/>
        </w:rPr>
      </w:pPr>
      <w:r w:rsidRPr="000550BB">
        <w:rPr>
          <w:rFonts w:ascii="Arial" w:hAnsi="Arial" w:cs="Arial"/>
          <w:i/>
          <w:sz w:val="22"/>
          <w:szCs w:val="22"/>
          <w:u w:val="single"/>
        </w:rPr>
        <w:t>Attachments:</w:t>
      </w:r>
    </w:p>
    <w:p w:rsidR="000550BB" w:rsidRDefault="000550BB" w:rsidP="000550BB">
      <w:pPr>
        <w:jc w:val="both"/>
        <w:rPr>
          <w:rFonts w:ascii="Arial" w:hAnsi="Arial" w:cs="Arial"/>
          <w:sz w:val="22"/>
          <w:szCs w:val="22"/>
        </w:rPr>
      </w:pPr>
    </w:p>
    <w:p w:rsidR="000550BB" w:rsidRPr="00574485" w:rsidRDefault="000550BB" w:rsidP="000550BB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Nil</w:t>
      </w:r>
    </w:p>
    <w:p w:rsidR="00AE7915" w:rsidRDefault="00AE7915" w:rsidP="00AE7915">
      <w:pPr>
        <w:tabs>
          <w:tab w:val="left" w:pos="2835"/>
        </w:tabs>
        <w:rPr>
          <w:rFonts w:ascii="Arial" w:hAnsi="Arial" w:cs="Arial"/>
          <w:kern w:val="20"/>
          <w:sz w:val="22"/>
          <w:szCs w:val="22"/>
        </w:rPr>
      </w:pPr>
    </w:p>
    <w:p w:rsidR="00AE7915" w:rsidRPr="00AE7915" w:rsidRDefault="00AE7915" w:rsidP="000550BB">
      <w:pPr>
        <w:tabs>
          <w:tab w:val="left" w:pos="2835"/>
        </w:tabs>
        <w:rPr>
          <w:sz w:val="20"/>
        </w:rPr>
      </w:pPr>
    </w:p>
    <w:sectPr w:rsidR="00AE7915" w:rsidRPr="00AE7915" w:rsidSect="009007BD">
      <w:headerReference w:type="default" r:id="rId7"/>
      <w:footerReference w:type="default" r:id="rId8"/>
      <w:headerReference w:type="first" r:id="rId9"/>
      <w:pgSz w:w="11907" w:h="16840" w:code="9"/>
      <w:pgMar w:top="1134" w:right="1134" w:bottom="1134" w:left="1134" w:header="851" w:footer="851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505" w:rsidRDefault="00110505">
      <w:r>
        <w:separator/>
      </w:r>
    </w:p>
  </w:endnote>
  <w:endnote w:type="continuationSeparator" w:id="0">
    <w:p w:rsidR="00110505" w:rsidRDefault="00110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663" w:rsidRPr="001141E1" w:rsidRDefault="00336663" w:rsidP="000134CD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  <w:r w:rsidRPr="001141E1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505" w:rsidRDefault="00110505">
      <w:r>
        <w:separator/>
      </w:r>
    </w:p>
  </w:footnote>
  <w:footnote w:type="continuationSeparator" w:id="0">
    <w:p w:rsidR="00110505" w:rsidRDefault="001105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663" w:rsidRPr="000400F9" w:rsidRDefault="001144E8" w:rsidP="000134CD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6663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336663">
      <w:rPr>
        <w:rFonts w:ascii="Arial" w:hAnsi="Arial" w:cs="Arial"/>
        <w:b/>
        <w:sz w:val="22"/>
        <w:szCs w:val="22"/>
        <w:u w:val="single"/>
      </w:rPr>
      <w:t>month year</w:t>
    </w:r>
  </w:p>
  <w:p w:rsidR="00336663" w:rsidRDefault="00336663" w:rsidP="000134CD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submission subject</w:t>
    </w:r>
  </w:p>
  <w:p w:rsidR="00336663" w:rsidRDefault="00336663" w:rsidP="000134CD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Minister/s title</w:t>
    </w:r>
  </w:p>
  <w:p w:rsidR="00336663" w:rsidRPr="00F10DF9" w:rsidRDefault="00336663" w:rsidP="000134CD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663" w:rsidRPr="00C91F72" w:rsidRDefault="001144E8" w:rsidP="000134CD">
    <w:pPr>
      <w:pStyle w:val="Header"/>
      <w:tabs>
        <w:tab w:val="clear" w:pos="8306"/>
        <w:tab w:val="right" w:pos="9072"/>
      </w:tabs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2" name="Picture 2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6663" w:rsidRPr="00C91F72">
      <w:rPr>
        <w:rFonts w:ascii="Arial" w:hAnsi="Arial" w:cs="Arial"/>
        <w:b/>
        <w:sz w:val="22"/>
        <w:szCs w:val="22"/>
        <w:u w:val="single"/>
      </w:rPr>
      <w:t>Cabinet – November 2009</w:t>
    </w:r>
    <w:r w:rsidR="00336663" w:rsidRPr="00C91F72">
      <w:rPr>
        <w:rFonts w:ascii="Arial" w:hAnsi="Arial" w:cs="Arial"/>
        <w:b/>
        <w:sz w:val="22"/>
        <w:szCs w:val="22"/>
      </w:rPr>
      <w:tab/>
    </w:r>
  </w:p>
  <w:p w:rsidR="00336663" w:rsidRPr="00C91F72" w:rsidRDefault="00336663" w:rsidP="000134CD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Regulatory Assessment Statement System</w:t>
    </w:r>
  </w:p>
  <w:p w:rsidR="00336663" w:rsidRPr="00C91F72" w:rsidRDefault="00336663" w:rsidP="000134CD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C91F72">
      <w:rPr>
        <w:rFonts w:ascii="Arial" w:hAnsi="Arial" w:cs="Arial"/>
        <w:b/>
        <w:sz w:val="22"/>
        <w:szCs w:val="22"/>
        <w:u w:val="single"/>
      </w:rPr>
      <w:t>Treasurer</w:t>
    </w:r>
    <w:r>
      <w:rPr>
        <w:rFonts w:ascii="Arial" w:hAnsi="Arial" w:cs="Arial"/>
        <w:b/>
        <w:sz w:val="22"/>
        <w:szCs w:val="22"/>
        <w:u w:val="single"/>
      </w:rPr>
      <w:t xml:space="preserve"> and Minister for Employment and Economic Development</w:t>
    </w:r>
    <w:r w:rsidRPr="00C91F72">
      <w:rPr>
        <w:rFonts w:ascii="Arial" w:hAnsi="Arial" w:cs="Arial"/>
        <w:b/>
        <w:sz w:val="22"/>
        <w:szCs w:val="22"/>
        <w:u w:val="single"/>
      </w:rPr>
      <w:t xml:space="preserve"> </w:t>
    </w:r>
  </w:p>
  <w:p w:rsidR="00336663" w:rsidRPr="00F10DF9" w:rsidRDefault="00336663" w:rsidP="000134CD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20877"/>
    <w:multiLevelType w:val="hybridMultilevel"/>
    <w:tmpl w:val="C9AEBB2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6A3408"/>
    <w:multiLevelType w:val="hybridMultilevel"/>
    <w:tmpl w:val="AA727D7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755B4D"/>
    <w:multiLevelType w:val="hybridMultilevel"/>
    <w:tmpl w:val="D06C46F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4647C1"/>
    <w:multiLevelType w:val="hybridMultilevel"/>
    <w:tmpl w:val="0052B36E"/>
    <w:lvl w:ilvl="0" w:tplc="EE6674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3E2D22"/>
    <w:multiLevelType w:val="hybridMultilevel"/>
    <w:tmpl w:val="618820DC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5507825"/>
    <w:multiLevelType w:val="hybridMultilevel"/>
    <w:tmpl w:val="E9286550"/>
    <w:lvl w:ilvl="0" w:tplc="246C9CD4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9C2A5E"/>
    <w:multiLevelType w:val="hybridMultilevel"/>
    <w:tmpl w:val="3A10E2D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4CD"/>
    <w:rsid w:val="00001485"/>
    <w:rsid w:val="00003204"/>
    <w:rsid w:val="000134CD"/>
    <w:rsid w:val="000144C9"/>
    <w:rsid w:val="00024B26"/>
    <w:rsid w:val="00034B77"/>
    <w:rsid w:val="000371CA"/>
    <w:rsid w:val="000458D3"/>
    <w:rsid w:val="000550BB"/>
    <w:rsid w:val="000602DB"/>
    <w:rsid w:val="00061998"/>
    <w:rsid w:val="00070604"/>
    <w:rsid w:val="00073D71"/>
    <w:rsid w:val="00083060"/>
    <w:rsid w:val="000876B5"/>
    <w:rsid w:val="00090054"/>
    <w:rsid w:val="000974F4"/>
    <w:rsid w:val="000B05EB"/>
    <w:rsid w:val="000E65CF"/>
    <w:rsid w:val="00106A82"/>
    <w:rsid w:val="00110505"/>
    <w:rsid w:val="00112253"/>
    <w:rsid w:val="001144E8"/>
    <w:rsid w:val="00147D1A"/>
    <w:rsid w:val="00167DD2"/>
    <w:rsid w:val="00171109"/>
    <w:rsid w:val="00172FE1"/>
    <w:rsid w:val="001769ED"/>
    <w:rsid w:val="00181485"/>
    <w:rsid w:val="00183BBF"/>
    <w:rsid w:val="00196D1A"/>
    <w:rsid w:val="001A32AF"/>
    <w:rsid w:val="001A7FE9"/>
    <w:rsid w:val="001B490A"/>
    <w:rsid w:val="001D2572"/>
    <w:rsid w:val="001D312B"/>
    <w:rsid w:val="001F181C"/>
    <w:rsid w:val="002129E3"/>
    <w:rsid w:val="00216BF8"/>
    <w:rsid w:val="00217796"/>
    <w:rsid w:val="00230B1C"/>
    <w:rsid w:val="002377EC"/>
    <w:rsid w:val="00240B9A"/>
    <w:rsid w:val="00240FCB"/>
    <w:rsid w:val="002469EF"/>
    <w:rsid w:val="0025352C"/>
    <w:rsid w:val="00255EFB"/>
    <w:rsid w:val="00256EE3"/>
    <w:rsid w:val="00282FCE"/>
    <w:rsid w:val="00284E47"/>
    <w:rsid w:val="002A6C29"/>
    <w:rsid w:val="002B3AF5"/>
    <w:rsid w:val="002C24CD"/>
    <w:rsid w:val="002C48E3"/>
    <w:rsid w:val="002C5BC0"/>
    <w:rsid w:val="002C7BE8"/>
    <w:rsid w:val="002D119A"/>
    <w:rsid w:val="002E0293"/>
    <w:rsid w:val="002F1C61"/>
    <w:rsid w:val="002F612C"/>
    <w:rsid w:val="0030375E"/>
    <w:rsid w:val="00304A61"/>
    <w:rsid w:val="00311C79"/>
    <w:rsid w:val="00312124"/>
    <w:rsid w:val="00325A95"/>
    <w:rsid w:val="00327082"/>
    <w:rsid w:val="00336663"/>
    <w:rsid w:val="00340617"/>
    <w:rsid w:val="00346F51"/>
    <w:rsid w:val="00347CF0"/>
    <w:rsid w:val="00351C44"/>
    <w:rsid w:val="003541FB"/>
    <w:rsid w:val="00357FC1"/>
    <w:rsid w:val="0037383A"/>
    <w:rsid w:val="00373940"/>
    <w:rsid w:val="00384F8A"/>
    <w:rsid w:val="00392888"/>
    <w:rsid w:val="003A3DDD"/>
    <w:rsid w:val="003A76F4"/>
    <w:rsid w:val="003E7AB0"/>
    <w:rsid w:val="003E7B60"/>
    <w:rsid w:val="003F550E"/>
    <w:rsid w:val="0040275E"/>
    <w:rsid w:val="00405AC4"/>
    <w:rsid w:val="0041533C"/>
    <w:rsid w:val="0042559E"/>
    <w:rsid w:val="00435D9C"/>
    <w:rsid w:val="00440AA4"/>
    <w:rsid w:val="004647E3"/>
    <w:rsid w:val="00465593"/>
    <w:rsid w:val="00475EEE"/>
    <w:rsid w:val="00482E2A"/>
    <w:rsid w:val="00483AB9"/>
    <w:rsid w:val="0048457E"/>
    <w:rsid w:val="004A3425"/>
    <w:rsid w:val="004B1104"/>
    <w:rsid w:val="004B12A4"/>
    <w:rsid w:val="004B3A6A"/>
    <w:rsid w:val="004C13C6"/>
    <w:rsid w:val="004C3457"/>
    <w:rsid w:val="004D0994"/>
    <w:rsid w:val="004E386C"/>
    <w:rsid w:val="004E5587"/>
    <w:rsid w:val="004E6CF9"/>
    <w:rsid w:val="004F30FF"/>
    <w:rsid w:val="00506021"/>
    <w:rsid w:val="00535A38"/>
    <w:rsid w:val="00542FAC"/>
    <w:rsid w:val="00545A3F"/>
    <w:rsid w:val="00546782"/>
    <w:rsid w:val="00552EF5"/>
    <w:rsid w:val="005678FA"/>
    <w:rsid w:val="00574485"/>
    <w:rsid w:val="005A55CB"/>
    <w:rsid w:val="005B009A"/>
    <w:rsid w:val="005B1494"/>
    <w:rsid w:val="005D0D97"/>
    <w:rsid w:val="005E03E0"/>
    <w:rsid w:val="005E405F"/>
    <w:rsid w:val="005F548D"/>
    <w:rsid w:val="00606073"/>
    <w:rsid w:val="00633612"/>
    <w:rsid w:val="00633B24"/>
    <w:rsid w:val="00641316"/>
    <w:rsid w:val="0064183D"/>
    <w:rsid w:val="00653DD9"/>
    <w:rsid w:val="0066139F"/>
    <w:rsid w:val="00681648"/>
    <w:rsid w:val="00690A48"/>
    <w:rsid w:val="006A15FE"/>
    <w:rsid w:val="006C01B2"/>
    <w:rsid w:val="006D2195"/>
    <w:rsid w:val="006D2C91"/>
    <w:rsid w:val="006D4D01"/>
    <w:rsid w:val="006E1D34"/>
    <w:rsid w:val="006F198D"/>
    <w:rsid w:val="00713663"/>
    <w:rsid w:val="0071477C"/>
    <w:rsid w:val="00722EE7"/>
    <w:rsid w:val="0072522E"/>
    <w:rsid w:val="0072531A"/>
    <w:rsid w:val="007256D9"/>
    <w:rsid w:val="00730E6A"/>
    <w:rsid w:val="00733474"/>
    <w:rsid w:val="007529A9"/>
    <w:rsid w:val="00760D45"/>
    <w:rsid w:val="00764B4E"/>
    <w:rsid w:val="00765F8B"/>
    <w:rsid w:val="007707BC"/>
    <w:rsid w:val="00785CB3"/>
    <w:rsid w:val="007900D1"/>
    <w:rsid w:val="007925FC"/>
    <w:rsid w:val="007A42BF"/>
    <w:rsid w:val="007B3856"/>
    <w:rsid w:val="007C0905"/>
    <w:rsid w:val="007C6E94"/>
    <w:rsid w:val="007E1FA6"/>
    <w:rsid w:val="00806EDF"/>
    <w:rsid w:val="0081372E"/>
    <w:rsid w:val="00815FB6"/>
    <w:rsid w:val="00825678"/>
    <w:rsid w:val="00831229"/>
    <w:rsid w:val="00840521"/>
    <w:rsid w:val="00860AAF"/>
    <w:rsid w:val="00867F0B"/>
    <w:rsid w:val="008868A2"/>
    <w:rsid w:val="00886CE6"/>
    <w:rsid w:val="00890462"/>
    <w:rsid w:val="00897EC7"/>
    <w:rsid w:val="008A0D37"/>
    <w:rsid w:val="008A133B"/>
    <w:rsid w:val="008A3D9E"/>
    <w:rsid w:val="008C3265"/>
    <w:rsid w:val="008D135F"/>
    <w:rsid w:val="008D3DF4"/>
    <w:rsid w:val="008F3578"/>
    <w:rsid w:val="009007BD"/>
    <w:rsid w:val="0091627A"/>
    <w:rsid w:val="009210BD"/>
    <w:rsid w:val="00921666"/>
    <w:rsid w:val="0092176A"/>
    <w:rsid w:val="009274D2"/>
    <w:rsid w:val="00927F9A"/>
    <w:rsid w:val="00947921"/>
    <w:rsid w:val="00947DE4"/>
    <w:rsid w:val="00970C5C"/>
    <w:rsid w:val="00973228"/>
    <w:rsid w:val="00983079"/>
    <w:rsid w:val="00985DFC"/>
    <w:rsid w:val="00996A75"/>
    <w:rsid w:val="009A0F6C"/>
    <w:rsid w:val="009A2CA4"/>
    <w:rsid w:val="009A4962"/>
    <w:rsid w:val="009B19A9"/>
    <w:rsid w:val="009C3EEC"/>
    <w:rsid w:val="009C40B9"/>
    <w:rsid w:val="009D290F"/>
    <w:rsid w:val="009D4A13"/>
    <w:rsid w:val="009D7178"/>
    <w:rsid w:val="009E4BF9"/>
    <w:rsid w:val="00A16AEA"/>
    <w:rsid w:val="00A240BA"/>
    <w:rsid w:val="00A2508C"/>
    <w:rsid w:val="00A3256C"/>
    <w:rsid w:val="00A37F1F"/>
    <w:rsid w:val="00A4213C"/>
    <w:rsid w:val="00A47ABE"/>
    <w:rsid w:val="00A50AC9"/>
    <w:rsid w:val="00A57AE5"/>
    <w:rsid w:val="00A64DAE"/>
    <w:rsid w:val="00A668CC"/>
    <w:rsid w:val="00A67A7F"/>
    <w:rsid w:val="00A72047"/>
    <w:rsid w:val="00A75FC2"/>
    <w:rsid w:val="00A83EEA"/>
    <w:rsid w:val="00AA6BA4"/>
    <w:rsid w:val="00AA7FFC"/>
    <w:rsid w:val="00AB10CB"/>
    <w:rsid w:val="00AB6BEE"/>
    <w:rsid w:val="00AC44C9"/>
    <w:rsid w:val="00AC7D43"/>
    <w:rsid w:val="00AD4715"/>
    <w:rsid w:val="00AD7ADD"/>
    <w:rsid w:val="00AE1707"/>
    <w:rsid w:val="00AE4CC4"/>
    <w:rsid w:val="00AE7915"/>
    <w:rsid w:val="00B01719"/>
    <w:rsid w:val="00B12331"/>
    <w:rsid w:val="00B20924"/>
    <w:rsid w:val="00B2382A"/>
    <w:rsid w:val="00B23FF3"/>
    <w:rsid w:val="00B24C20"/>
    <w:rsid w:val="00B26F3E"/>
    <w:rsid w:val="00B3575B"/>
    <w:rsid w:val="00B4551B"/>
    <w:rsid w:val="00B46CE5"/>
    <w:rsid w:val="00B506DF"/>
    <w:rsid w:val="00B51DDE"/>
    <w:rsid w:val="00B568F5"/>
    <w:rsid w:val="00B63FA8"/>
    <w:rsid w:val="00B657D7"/>
    <w:rsid w:val="00B714B5"/>
    <w:rsid w:val="00B74717"/>
    <w:rsid w:val="00B75F9A"/>
    <w:rsid w:val="00B8621F"/>
    <w:rsid w:val="00B93B56"/>
    <w:rsid w:val="00BA569C"/>
    <w:rsid w:val="00BB0200"/>
    <w:rsid w:val="00BB53FB"/>
    <w:rsid w:val="00BC0CA5"/>
    <w:rsid w:val="00BD35C6"/>
    <w:rsid w:val="00BE494F"/>
    <w:rsid w:val="00BF2977"/>
    <w:rsid w:val="00BF52A8"/>
    <w:rsid w:val="00C0228F"/>
    <w:rsid w:val="00C03088"/>
    <w:rsid w:val="00C27FE4"/>
    <w:rsid w:val="00C33691"/>
    <w:rsid w:val="00C33A23"/>
    <w:rsid w:val="00C3773B"/>
    <w:rsid w:val="00C424B1"/>
    <w:rsid w:val="00C427DD"/>
    <w:rsid w:val="00C531F9"/>
    <w:rsid w:val="00C61AB6"/>
    <w:rsid w:val="00C73642"/>
    <w:rsid w:val="00C75BEE"/>
    <w:rsid w:val="00C94DF1"/>
    <w:rsid w:val="00C9626B"/>
    <w:rsid w:val="00C96961"/>
    <w:rsid w:val="00CA2879"/>
    <w:rsid w:val="00CA459A"/>
    <w:rsid w:val="00CB071E"/>
    <w:rsid w:val="00CC4BC3"/>
    <w:rsid w:val="00CC7967"/>
    <w:rsid w:val="00CE4692"/>
    <w:rsid w:val="00CE5D45"/>
    <w:rsid w:val="00CE77F2"/>
    <w:rsid w:val="00CF143A"/>
    <w:rsid w:val="00D34B0B"/>
    <w:rsid w:val="00D45CD0"/>
    <w:rsid w:val="00D60F8B"/>
    <w:rsid w:val="00D67DDE"/>
    <w:rsid w:val="00D728DE"/>
    <w:rsid w:val="00D81953"/>
    <w:rsid w:val="00D9749B"/>
    <w:rsid w:val="00DA056F"/>
    <w:rsid w:val="00DB74EE"/>
    <w:rsid w:val="00DC3469"/>
    <w:rsid w:val="00DC3576"/>
    <w:rsid w:val="00DF21CA"/>
    <w:rsid w:val="00DF7206"/>
    <w:rsid w:val="00E16605"/>
    <w:rsid w:val="00E33A3A"/>
    <w:rsid w:val="00E62FFC"/>
    <w:rsid w:val="00E63275"/>
    <w:rsid w:val="00E635AC"/>
    <w:rsid w:val="00E72634"/>
    <w:rsid w:val="00E73F6F"/>
    <w:rsid w:val="00E900C3"/>
    <w:rsid w:val="00EA7309"/>
    <w:rsid w:val="00EB3F0F"/>
    <w:rsid w:val="00EC2966"/>
    <w:rsid w:val="00EC660D"/>
    <w:rsid w:val="00EE197E"/>
    <w:rsid w:val="00EF1187"/>
    <w:rsid w:val="00EF3906"/>
    <w:rsid w:val="00F23293"/>
    <w:rsid w:val="00F236FF"/>
    <w:rsid w:val="00F24F11"/>
    <w:rsid w:val="00F3008A"/>
    <w:rsid w:val="00F3721D"/>
    <w:rsid w:val="00F40F41"/>
    <w:rsid w:val="00F62793"/>
    <w:rsid w:val="00F70D51"/>
    <w:rsid w:val="00F7213A"/>
    <w:rsid w:val="00F7237A"/>
    <w:rsid w:val="00F7246C"/>
    <w:rsid w:val="00F75DB2"/>
    <w:rsid w:val="00F86367"/>
    <w:rsid w:val="00FB27D8"/>
    <w:rsid w:val="00FB3505"/>
    <w:rsid w:val="00FB43B7"/>
    <w:rsid w:val="00FB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4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134C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134CD"/>
    <w:pPr>
      <w:tabs>
        <w:tab w:val="center" w:pos="4153"/>
        <w:tab w:val="right" w:pos="8306"/>
      </w:tabs>
    </w:pPr>
  </w:style>
  <w:style w:type="paragraph" w:customStyle="1" w:styleId="Char">
    <w:name w:val="Char"/>
    <w:basedOn w:val="Normal"/>
    <w:rsid w:val="00574485"/>
    <w:rPr>
      <w:rFonts w:ascii="Arial" w:hAnsi="Arial"/>
      <w:sz w:val="22"/>
      <w:lang w:eastAsia="en-US"/>
    </w:rPr>
  </w:style>
  <w:style w:type="paragraph" w:styleId="BalloonText">
    <w:name w:val="Balloon Text"/>
    <w:basedOn w:val="Normal"/>
    <w:semiHidden/>
    <w:rsid w:val="00D45CD0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"/>
    <w:rsid w:val="00AE7915"/>
    <w:pPr>
      <w:tabs>
        <w:tab w:val="left" w:pos="8278"/>
      </w:tabs>
      <w:spacing w:after="160" w:line="240" w:lineRule="exact"/>
    </w:pPr>
    <w:rPr>
      <w:rFonts w:ascii="Verdana" w:hAnsi="Verdana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1976</Characters>
  <Application>Microsoft Office Word</Application>
  <DocSecurity>0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2281</CharactersWithSpaces>
  <SharedDoc>false</SharedDoc>
  <HyperlinkBase>https://www.cabinet.qld.gov.au/documents/2009/Nov/Regulatory Assessment System/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Regulatory_Reform,COAG,Regulatory_Assessment Statement</cp:keywords>
  <dc:description/>
  <cp:lastModifiedBy/>
  <cp:revision>2</cp:revision>
  <cp:lastPrinted>2010-02-11T00:14:00Z</cp:lastPrinted>
  <dcterms:created xsi:type="dcterms:W3CDTF">2017-10-24T22:02:00Z</dcterms:created>
  <dcterms:modified xsi:type="dcterms:W3CDTF">2018-03-06T00:59:00Z</dcterms:modified>
  <cp:category>Regulatory_Reform,Intergovernmental,COAG</cp:category>
</cp:coreProperties>
</file>